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8.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ind w:firstLine="708" w:left="0" w:right="0"/>
      </w:pPr>
      <w:r>
        <w:rPr/>
        <w:drawing>
          <wp:inline distB="0" distL="0" distR="0" distT="0">
            <wp:extent cx="3476625" cy="168592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3476625" cy="1685925"/>
                    </a:xfrm>
                    <a:prstGeom prst="rect">
                      <a:avLst/>
                    </a:prstGeom>
                    <a:noFill/>
                    <a:ln w="9525">
                      <a:noFill/>
                      <a:miter lim="800000"/>
                      <a:headEnd/>
                      <a:tailEnd/>
                    </a:ln>
                  </pic:spPr>
                </pic:pic>
              </a:graphicData>
            </a:graphic>
          </wp:inline>
        </w:drawing>
        <w:pict>
          <v:shapetype id="shapetype_32" coordsize="21600,21600" o:spt="32" path="m,l21600,21600nfe">
            <v:stroke joinstyle="miter"/>
            <v:path gradientshapeok="t" o:connecttype="rect" textboxrect="0,0,21600,21600"/>
          </v:shapetype>
          <v:shape id="shape_0" style="position:absolute;margin-left:0pt;margin-top:8.75pt;width:490.45pt;height:0pt" type="shapetype_32">
            <v:wrap v:type="none"/>
            <v:fill detectmouseclick="t"/>
            <v:stroke color="#0070c0" joinstyle="round"/>
          </v:shape>
        </w:pict>
        <w:pict>
          <v:shape id="shape_0" style="position:absolute;margin-left:57.85pt;margin-top:673pt;width:472.45pt;height:0pt" type="shapetype_32">
            <v:wrap v:type="none"/>
            <v:fill detectmouseclick="t"/>
            <v:stroke color="#0070c0" joinstyle="round" weight="15840"/>
          </v:shape>
        </w:pict>
      </w:r>
    </w:p>
    <w:p>
      <w:pPr>
        <w:pStyle w:val="style0"/>
        <w:spacing w:after="0" w:before="0" w:line="276" w:lineRule="auto"/>
        <w:jc w:val="right"/>
      </w:pPr>
      <w:r>
        <w:rPr>
          <w:rFonts w:ascii="Segoe UI" w:cs="Segoe UI" w:hAnsi="Segoe UI"/>
          <w:b/>
          <w:sz w:val="32"/>
          <w:szCs w:val="32"/>
        </w:rPr>
        <w:t>ПРЕСС-РЕЛИЗ</w:t>
      </w:r>
    </w:p>
    <w:p>
      <w:pPr>
        <w:pStyle w:val="style0"/>
        <w:spacing w:after="0" w:before="0" w:line="276" w:lineRule="auto"/>
        <w:jc w:val="right"/>
      </w:pPr>
      <w:r>
        <w:rPr>
          <w:rFonts w:ascii="Segoe UI" w:cs="Segoe UI" w:hAnsi="Segoe UI"/>
          <w:b/>
          <w:sz w:val="24"/>
          <w:szCs w:val="24"/>
        </w:rPr>
        <w:t>21 сентября 2020</w:t>
      </w:r>
    </w:p>
    <w:p>
      <w:pPr>
        <w:pStyle w:val="style0"/>
        <w:spacing w:after="0" w:before="0" w:line="360" w:lineRule="auto"/>
        <w:ind w:firstLine="708" w:left="0" w:right="0"/>
        <w:jc w:val="center"/>
      </w:pPr>
      <w:r>
        <w:rPr>
          <w:rFonts w:cs="Calibri"/>
          <w:b/>
          <w:sz w:val="24"/>
          <w:szCs w:val="24"/>
        </w:rPr>
      </w:r>
    </w:p>
    <w:p>
      <w:pPr>
        <w:pStyle w:val="style0"/>
        <w:spacing w:after="0" w:before="0" w:line="360" w:lineRule="auto"/>
        <w:ind w:firstLine="708" w:left="0" w:right="0"/>
        <w:jc w:val="center"/>
      </w:pPr>
      <w:r>
        <w:rPr>
          <w:rFonts w:ascii="Segoe UI" w:cs="Segoe UI" w:hAnsi="Segoe UI"/>
          <w:b/>
          <w:sz w:val="28"/>
          <w:szCs w:val="28"/>
        </w:rPr>
        <w:t>Самарский Росреестр рекомендует посмотреть, в каком году была проведена кадастровая оценка</w:t>
      </w:r>
    </w:p>
    <w:p>
      <w:pPr>
        <w:pStyle w:val="style0"/>
        <w:spacing w:after="0" w:before="0" w:line="360" w:lineRule="auto"/>
        <w:ind w:firstLine="708" w:left="0" w:right="0"/>
        <w:jc w:val="both"/>
      </w:pPr>
      <w:r>
        <w:rPr>
          <w:rFonts w:ascii="Segoe UI" w:cs="Segoe UI" w:hAnsi="Segoe UI"/>
          <w:sz w:val="24"/>
          <w:szCs w:val="24"/>
        </w:rPr>
        <w:t xml:space="preserve">Прежде чем оспаривать кадастровую стоимость, заявителям Самарской области стоит обратить внимание на один важный пункт законодательства. О нем рассказал начальник отдела кадастровой оценки недвижимости Управления Росреестра по Самарской области </w:t>
      </w:r>
      <w:r>
        <w:rPr>
          <w:rFonts w:ascii="Segoe UI" w:cs="Segoe UI" w:hAnsi="Segoe UI"/>
          <w:b/>
          <w:sz w:val="24"/>
          <w:szCs w:val="24"/>
        </w:rPr>
        <w:t>Иван Маслов</w:t>
      </w:r>
      <w:r>
        <w:rPr>
          <w:rFonts w:ascii="Segoe UI" w:cs="Segoe UI" w:hAnsi="Segoe UI"/>
          <w:sz w:val="24"/>
          <w:szCs w:val="24"/>
        </w:rPr>
        <w:t xml:space="preserve">.  </w:t>
      </w:r>
    </w:p>
    <w:p>
      <w:pPr>
        <w:pStyle w:val="style0"/>
        <w:spacing w:after="0" w:before="0" w:line="360" w:lineRule="auto"/>
        <w:ind w:firstLine="708" w:left="0" w:right="0"/>
        <w:jc w:val="both"/>
      </w:pPr>
      <w:r>
        <w:rPr>
          <w:rFonts w:ascii="Segoe UI" w:cs="Segoe UI" w:hAnsi="Segoe UI"/>
          <w:sz w:val="24"/>
          <w:szCs w:val="24"/>
        </w:rPr>
        <w:t>Кадастровая стоимость – это основа для начисления земельного налога и налога на имущество физических лиц и организаций, арендной платы за земельные участки. Ее периодическая актуализация в соответствии с меняющимися условиями рынка объектов недвижимости всегда была заложена в законодательство. Например, в настоящее время ГБУ СО «Центр кадастровой оценки» обновляет кадастровую оценку земельных участков земель населенных пунктов. Промежуточные результаты этой оценки размещены на сайте указанной организации,</w:t>
      </w:r>
      <w:bookmarkStart w:id="0" w:name="_GoBack"/>
      <w:bookmarkEnd w:id="0"/>
      <w:r>
        <w:rPr>
          <w:rFonts w:ascii="Segoe UI" w:cs="Segoe UI" w:hAnsi="Segoe UI"/>
          <w:sz w:val="24"/>
          <w:szCs w:val="24"/>
        </w:rPr>
        <w:t xml:space="preserve"> до первого декабря текущего года ожидается их утверждение с применением с 2021 года. </w:t>
      </w:r>
    </w:p>
    <w:p>
      <w:pPr>
        <w:pStyle w:val="style0"/>
        <w:spacing w:after="0" w:before="0" w:line="360" w:lineRule="auto"/>
        <w:ind w:firstLine="708" w:left="0" w:right="0"/>
        <w:jc w:val="both"/>
      </w:pPr>
      <w:r>
        <w:rPr>
          <w:rFonts w:ascii="Segoe UI" w:cs="Segoe UI" w:hAnsi="Segoe UI"/>
          <w:sz w:val="24"/>
          <w:szCs w:val="24"/>
        </w:rPr>
        <w:t xml:space="preserve">Сегодня периодичность кадастровой оценки установлена специальным федеральным законом «О государственной кадастровой оценке» и составляет один раз в четыре года, начиная с 2022 года. </w:t>
      </w:r>
    </w:p>
    <w:p>
      <w:pPr>
        <w:pStyle w:val="style0"/>
        <w:spacing w:after="0" w:before="0" w:line="360" w:lineRule="auto"/>
        <w:ind w:firstLine="708" w:left="0" w:right="0"/>
        <w:jc w:val="both"/>
      </w:pPr>
      <w:r>
        <w:rPr>
          <w:rFonts w:ascii="Segoe UI" w:cs="Segoe UI" w:hAnsi="Segoe UI"/>
          <w:sz w:val="24"/>
          <w:szCs w:val="24"/>
        </w:rPr>
        <w:t xml:space="preserve">- </w:t>
      </w:r>
      <w:r>
        <w:rPr>
          <w:rFonts w:ascii="Segoe UI" w:cs="Segoe UI" w:hAnsi="Segoe UI"/>
          <w:i/>
          <w:sz w:val="24"/>
          <w:szCs w:val="24"/>
        </w:rPr>
        <w:t>Кадастровая стоимость – это не постоянная величина, она может изменяться в трех случаях: при преобразовании объекта недвижимости, при оспаривании кадастровой стоимости, а также при утверждении новой кадастровой оценки. При этом оспаривание кадастровой стоимости затрагивает только период ее применения заявителем. Например, оспорив сегодня результат определения кадастровой стоимости по земельному участку земель населенных пунктов, можно рассчитывать на снижение налога исключительно по 2020 году и возврат излишне уплаченного за три предыдущих налоговых периода, если заявитель являлся правообладателем в течение этих лет</w:t>
      </w:r>
      <w:r>
        <w:rPr>
          <w:rFonts w:ascii="Segoe UI" w:cs="Segoe UI" w:hAnsi="Segoe UI"/>
          <w:sz w:val="24"/>
          <w:szCs w:val="24"/>
        </w:rPr>
        <w:t xml:space="preserve">, - говорит Иван Маслов. </w:t>
      </w:r>
    </w:p>
    <w:p>
      <w:pPr>
        <w:pStyle w:val="style0"/>
        <w:spacing w:after="0" w:before="0" w:line="360" w:lineRule="auto"/>
        <w:ind w:firstLine="708" w:left="0" w:right="0"/>
        <w:jc w:val="both"/>
      </w:pPr>
      <w:r>
        <w:rPr>
          <w:rFonts w:ascii="Segoe UI" w:cs="Segoe UI" w:hAnsi="Segoe UI"/>
          <w:sz w:val="24"/>
          <w:szCs w:val="24"/>
        </w:rPr>
        <w:t xml:space="preserve">При управлении своей недвижимостью, планировании доходов и расходов, связанных с ее содержанием и эксплуатацией, эксперт рекомендует учитывать такую особенность законодательства как периодическое изменение кадастровой оценки без участия правообладателя. Таким образом, прежде чем оспаривать кадастровую стоимость в первую очередь важно посмотреть год, в котором была проведена кадастровая оценка, и только после этого оценивать экономическую целесообразность оспаривания кадастровой стоимости.  </w:t>
      </w:r>
    </w:p>
    <w:p>
      <w:pPr>
        <w:pStyle w:val="style0"/>
        <w:suppressAutoHyphens w:val="true"/>
        <w:spacing w:after="0" w:before="240" w:line="100" w:lineRule="atLeast"/>
        <w:jc w:val="both"/>
      </w:pPr>
      <w:r>
        <w:rPr>
          <w:rFonts w:ascii="Segoe UI" w:cs="Segoe UI" w:hAnsi="Segoe UI"/>
          <w:b/>
          <w:sz w:val="26"/>
          <w:szCs w:val="26"/>
          <w:lang w:eastAsia="sk-SK"/>
        </w:rPr>
      </w:r>
    </w:p>
    <w:p>
      <w:pPr>
        <w:pStyle w:val="style0"/>
        <w:suppressAutoHyphens w:val="true"/>
        <w:spacing w:after="0" w:before="240" w:line="100" w:lineRule="atLeast"/>
        <w:jc w:val="both"/>
      </w:pPr>
      <w:r>
        <w:rPr>
          <w:rFonts w:ascii="Segoe UI" w:cs="Segoe UI" w:hAnsi="Segoe UI"/>
          <w:b/>
          <w:sz w:val="24"/>
          <w:szCs w:val="24"/>
          <w:lang w:eastAsia="sk-SK"/>
        </w:rPr>
        <w:t xml:space="preserve">Контакты для СМИ: </w:t>
      </w:r>
    </w:p>
    <w:p>
      <w:pPr>
        <w:pStyle w:val="style0"/>
        <w:suppressAutoHyphens w:val="true"/>
        <w:spacing w:after="0" w:before="0" w:line="100" w:lineRule="atLeast"/>
        <w:jc w:val="both"/>
      </w:pPr>
      <w:r>
        <w:rPr>
          <w:rFonts w:ascii="Segoe UI" w:cs="Segoe UI" w:hAnsi="Segoe UI"/>
          <w:sz w:val="24"/>
          <w:szCs w:val="24"/>
        </w:rPr>
        <w:t xml:space="preserve">Ольга Никитина, помощник руководителя Управления Росреестра </w:t>
      </w:r>
    </w:p>
    <w:p>
      <w:pPr>
        <w:pStyle w:val="style0"/>
        <w:tabs>
          <w:tab w:leader="none" w:pos="3900" w:val="left"/>
        </w:tabs>
        <w:suppressAutoHyphens w:val="true"/>
        <w:spacing w:after="0" w:before="0" w:line="100" w:lineRule="atLeast"/>
        <w:jc w:val="both"/>
      </w:pPr>
      <w:r>
        <w:rPr>
          <w:rFonts w:ascii="Segoe UI" w:cs="Segoe UI" w:hAnsi="Segoe UI"/>
          <w:sz w:val="24"/>
          <w:szCs w:val="24"/>
        </w:rPr>
        <w:t xml:space="preserve">8 927 690 73 51, </w:t>
      </w:r>
      <w:hyperlink r:id="rId3">
        <w:r>
          <w:rPr>
            <w:rStyle w:val="style16"/>
            <w:rFonts w:ascii="Segoe UI" w:cs="Segoe UI" w:hAnsi="Segoe UI"/>
            <w:color w:val="0000FF"/>
            <w:sz w:val="24"/>
            <w:szCs w:val="24"/>
            <w:u w:val="single"/>
            <w:shd w:fill="FFFFFF" w:val="clear"/>
            <w:lang w:val="en-US"/>
          </w:rPr>
          <w:t>pr</w:t>
        </w:r>
        <w:r>
          <w:rPr>
            <w:rStyle w:val="style16"/>
            <w:rFonts w:ascii="Segoe UI" w:cs="Segoe UI" w:hAnsi="Segoe UI"/>
            <w:color w:val="0000FF"/>
            <w:sz w:val="24"/>
            <w:szCs w:val="24"/>
            <w:u w:val="single"/>
            <w:shd w:fill="FFFFFF" w:val="clear"/>
          </w:rPr>
          <w:t>.</w:t>
        </w:r>
        <w:r>
          <w:rPr>
            <w:rStyle w:val="style16"/>
            <w:rFonts w:ascii="Segoe UI" w:cs="Segoe UI" w:hAnsi="Segoe UI"/>
            <w:color w:val="0000FF"/>
            <w:sz w:val="24"/>
            <w:szCs w:val="24"/>
            <w:u w:val="single"/>
            <w:shd w:fill="FFFFFF" w:val="clear"/>
            <w:lang w:val="en-US"/>
          </w:rPr>
          <w:t>samara</w:t>
        </w:r>
        <w:r>
          <w:rPr>
            <w:rStyle w:val="style16"/>
            <w:rFonts w:ascii="Segoe UI" w:cs="Segoe UI" w:hAnsi="Segoe UI"/>
            <w:color w:val="0000FF"/>
            <w:sz w:val="24"/>
            <w:szCs w:val="24"/>
            <w:u w:val="single"/>
            <w:shd w:fill="FFFFFF" w:val="clear"/>
          </w:rPr>
          <w:t>@</w:t>
        </w:r>
        <w:r>
          <w:rPr>
            <w:rStyle w:val="style16"/>
            <w:rFonts w:ascii="Segoe UI" w:cs="Segoe UI" w:hAnsi="Segoe UI"/>
            <w:color w:val="0000FF"/>
            <w:sz w:val="24"/>
            <w:szCs w:val="24"/>
            <w:u w:val="single"/>
            <w:shd w:fill="FFFFFF" w:val="clear"/>
            <w:lang w:val="en-US"/>
          </w:rPr>
          <w:t>mail</w:t>
        </w:r>
        <w:r>
          <w:rPr>
            <w:rStyle w:val="style16"/>
            <w:rFonts w:ascii="Segoe UI" w:cs="Segoe UI" w:hAnsi="Segoe UI"/>
            <w:color w:val="0000FF"/>
            <w:sz w:val="24"/>
            <w:szCs w:val="24"/>
            <w:u w:val="single"/>
            <w:shd w:fill="FFFFFF" w:val="clear"/>
          </w:rPr>
          <w:t>.</w:t>
        </w:r>
        <w:r>
          <w:rPr>
            <w:rStyle w:val="style16"/>
            <w:rFonts w:ascii="Segoe UI" w:cs="Segoe UI" w:hAnsi="Segoe UI"/>
            <w:color w:val="0000FF"/>
            <w:sz w:val="24"/>
            <w:szCs w:val="24"/>
            <w:u w:val="single"/>
            <w:shd w:fill="FFFFFF" w:val="clear"/>
            <w:lang w:val="en-US"/>
          </w:rPr>
          <w:t>ru</w:t>
        </w:r>
      </w:hyperlink>
    </w:p>
    <w:p>
      <w:pPr>
        <w:pStyle w:val="style0"/>
        <w:jc w:val="both"/>
      </w:pPr>
      <w:r>
        <w:rPr>
          <w:rFonts w:ascii="Segoe UI" w:cs="Segoe UI" w:hAnsi="Segoe UI"/>
          <w:sz w:val="24"/>
          <w:szCs w:val="24"/>
        </w:rPr>
      </w:r>
    </w:p>
    <w:p>
      <w:pPr>
        <w:pStyle w:val="style0"/>
        <w:spacing w:after="0" w:before="0" w:line="360" w:lineRule="auto"/>
        <w:ind w:firstLine="708" w:left="0" w:right="0"/>
        <w:jc w:val="both"/>
      </w:pPr>
      <w:r>
        <w:rPr>
          <w:rFonts w:ascii="Segoe UI" w:cs="Segoe UI" w:hAnsi="Segoe UI"/>
          <w:sz w:val="24"/>
          <w:szCs w:val="24"/>
        </w:rPr>
      </w:r>
    </w:p>
    <w:p>
      <w:pPr>
        <w:pStyle w:val="style0"/>
        <w:spacing w:after="0" w:before="0" w:line="360" w:lineRule="auto"/>
        <w:jc w:val="both"/>
      </w:pPr>
      <w:r>
        <w:rPr>
          <w:rFonts w:ascii="Times New Roman" w:cs="Times New Roman" w:hAnsi="Times New Roman"/>
          <w:sz w:val="28"/>
          <w:szCs w:val="28"/>
        </w:rPr>
      </w:r>
    </w:p>
    <w:p>
      <w:pPr>
        <w:pStyle w:val="style0"/>
        <w:spacing w:after="0" w:before="0" w:line="360" w:lineRule="auto"/>
        <w:jc w:val="both"/>
      </w:pPr>
      <w:r>
        <w:rPr>
          <w:rFonts w:ascii="Times New Roman" w:cs="Times New Roman" w:hAnsi="Times New Roman"/>
          <w:sz w:val="28"/>
          <w:szCs w:val="28"/>
        </w:rPr>
      </w:r>
    </w:p>
    <w:p>
      <w:pPr>
        <w:pStyle w:val="style0"/>
        <w:spacing w:after="0" w:before="0" w:line="360" w:lineRule="auto"/>
        <w:jc w:val="both"/>
      </w:pPr>
      <w:r>
        <w:rPr/>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160" w:before="0" w:line="256" w:lineRule="auto"/>
    </w:pPr>
    <w:rPr>
      <w:rFonts w:ascii="Calibri" w:cs="Calibri" w:eastAsia="SimSun" w:hAnsi="Calibri"/>
      <w:color w:val="auto"/>
      <w:sz w:val="22"/>
      <w:szCs w:val="22"/>
      <w:lang w:bidi="ar-SA" w:eastAsia="en-US" w:val="ru-RU"/>
    </w:rPr>
  </w:style>
  <w:style w:styleId="style15" w:type="character">
    <w:name w:val="Default Paragraph Font"/>
    <w:next w:val="style15"/>
    <w:rPr/>
  </w:style>
  <w:style w:styleId="style16" w:type="character">
    <w:name w:val="Интернет-ссылка"/>
    <w:next w:val="style16"/>
    <w:rPr>
      <w:color w:val="000080"/>
      <w:u w:val="single"/>
      <w:lang w:bidi="ru-RU" w:eastAsia="ru-RU" w:val="ru-RU"/>
    </w:rPr>
  </w:style>
  <w:style w:styleId="style17" w:type="paragraph">
    <w:name w:val="Заголовок"/>
    <w:basedOn w:val="style0"/>
    <w:next w:val="style18"/>
    <w:pPr>
      <w:keepNext/>
      <w:spacing w:after="120" w:before="240"/>
    </w:pPr>
    <w:rPr>
      <w:rFonts w:ascii="Arial" w:cs="Mangal" w:eastAsia="Microsoft YaHei" w:hAnsi="Arial"/>
      <w:sz w:val="28"/>
      <w:szCs w:val="28"/>
    </w:rPr>
  </w:style>
  <w:style w:styleId="style18" w:type="paragraph">
    <w:name w:val="Основной текст"/>
    <w:basedOn w:val="style0"/>
    <w:next w:val="style18"/>
    <w:pPr>
      <w:spacing w:after="120" w:before="0"/>
    </w:pPr>
    <w:rPr/>
  </w:style>
  <w:style w:styleId="style19" w:type="paragraph">
    <w:name w:val="Список"/>
    <w:basedOn w:val="style18"/>
    <w:next w:val="style19"/>
    <w:pPr/>
    <w:rPr>
      <w:rFonts w:cs="Mangal"/>
    </w:rPr>
  </w:style>
  <w:style w:styleId="style20" w:type="paragraph">
    <w:name w:val="Название"/>
    <w:basedOn w:val="style0"/>
    <w:next w:val="style20"/>
    <w:pPr>
      <w:suppressLineNumbers/>
      <w:spacing w:after="120" w:before="120"/>
    </w:pPr>
    <w:rPr>
      <w:rFonts w:cs="Mangal"/>
      <w:i/>
      <w:iCs/>
      <w:sz w:val="24"/>
      <w:szCs w:val="24"/>
    </w:rPr>
  </w:style>
  <w:style w:styleId="style21" w:type="paragraph">
    <w:name w:val="Указатель"/>
    <w:basedOn w:val="style0"/>
    <w:next w:val="style21"/>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8.png"/><Relationship Id="rId3" Type="http://schemas.openxmlformats.org/officeDocument/2006/relationships/hyperlink" Target="mailto:pr.samara@mail.ru" TargetMode="Externa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81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2020-09-08T05:43:00.00Z</dcterms:created>
  <dc:creator>Маслов Иван Сергеевич</dc:creator>
  <cp:lastModifiedBy>Никитина Ольга Александровна</cp:lastModifiedBy>
  <dcterms:modified xsi:type="dcterms:W3CDTF">2020-09-21T07:33:00.00Z</dcterms:modified>
  <cp:revision>25</cp:revision>
</cp:coreProperties>
</file>